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16632" w14:textId="4304B510" w:rsidR="00176633" w:rsidRPr="00176633" w:rsidRDefault="00176633" w:rsidP="00176633">
      <w:pPr>
        <w:ind w:left="-142"/>
        <w:rPr>
          <w:b/>
          <w:bCs/>
        </w:rPr>
      </w:pPr>
      <w:r w:rsidRPr="00176633">
        <w:rPr>
          <w:b/>
          <w:bCs/>
        </w:rPr>
        <w:t>Addendum Report</w:t>
      </w:r>
    </w:p>
    <w:p w14:paraId="26A2FD0F" w14:textId="77777777" w:rsidR="00176633" w:rsidRDefault="00176633"/>
    <w:tbl>
      <w:tblPr>
        <w:tblW w:w="9361" w:type="dxa"/>
        <w:jc w:val="center"/>
        <w:tblLayout w:type="fixed"/>
        <w:tblLook w:val="04A0" w:firstRow="1" w:lastRow="0" w:firstColumn="1" w:lastColumn="0" w:noHBand="0" w:noVBand="1"/>
      </w:tblPr>
      <w:tblGrid>
        <w:gridCol w:w="2536"/>
        <w:gridCol w:w="6825"/>
      </w:tblGrid>
      <w:tr w:rsidR="00176633" w14:paraId="1397EFC5" w14:textId="77777777" w:rsidTr="00176633">
        <w:trPr>
          <w:trHeight w:val="151"/>
          <w:jc w:val="center"/>
        </w:trPr>
        <w:tc>
          <w:tcPr>
            <w:tcW w:w="2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60107CB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AU"/>
              </w:rPr>
              <w:t>Application lodged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094B2B0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eastAsia="en-AU"/>
              </w:rPr>
            </w:pPr>
            <w:r>
              <w:rPr>
                <w:rFonts w:cs="Arial"/>
                <w:sz w:val="24"/>
                <w:szCs w:val="24"/>
                <w:lang w:eastAsia="en-AU"/>
              </w:rPr>
              <w:t>Tuesday 24 August 2021</w:t>
            </w:r>
            <w:bookmarkStart w:id="0" w:name="DATE1_LODGED"/>
            <w:bookmarkEnd w:id="0"/>
            <w:r>
              <w:rPr>
                <w:rFonts w:cs="Arial"/>
                <w:sz w:val="24"/>
                <w:szCs w:val="24"/>
                <w:lang w:eastAsia="en-AU"/>
              </w:rPr>
              <w:t>.</w:t>
            </w:r>
          </w:p>
        </w:tc>
      </w:tr>
      <w:tr w:rsidR="00176633" w14:paraId="7115B0D1" w14:textId="77777777" w:rsidTr="00176633">
        <w:trPr>
          <w:trHeight w:val="142"/>
          <w:jc w:val="center"/>
        </w:trPr>
        <w:tc>
          <w:tcPr>
            <w:tcW w:w="2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6D60659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AU"/>
              </w:rPr>
              <w:t>Applicant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BBE5D80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eastAsia="en-AU"/>
              </w:rPr>
            </w:pPr>
            <w:r>
              <w:rPr>
                <w:rFonts w:cs="Arial"/>
                <w:sz w:val="24"/>
                <w:szCs w:val="24"/>
                <w:lang w:eastAsia="en-AU"/>
              </w:rPr>
              <w:t>Multiple Sclerosis Limited (MSL)</w:t>
            </w:r>
            <w:bookmarkStart w:id="1" w:name="APPLICANT"/>
            <w:bookmarkEnd w:id="1"/>
            <w:r>
              <w:rPr>
                <w:rFonts w:cs="Arial"/>
                <w:sz w:val="24"/>
                <w:szCs w:val="24"/>
                <w:lang w:eastAsia="en-AU"/>
              </w:rPr>
              <w:t>.</w:t>
            </w:r>
          </w:p>
        </w:tc>
      </w:tr>
      <w:tr w:rsidR="00176633" w14:paraId="1E7B524D" w14:textId="77777777" w:rsidTr="00176633">
        <w:trPr>
          <w:trHeight w:val="142"/>
          <w:jc w:val="center"/>
        </w:trPr>
        <w:tc>
          <w:tcPr>
            <w:tcW w:w="2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82D4067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AU"/>
              </w:rPr>
              <w:t>Owner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B0CA0A3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eastAsia="en-AU"/>
              </w:rPr>
            </w:pPr>
            <w:r>
              <w:rPr>
                <w:rFonts w:cs="Arial"/>
                <w:sz w:val="24"/>
                <w:szCs w:val="24"/>
                <w:lang w:eastAsia="en-AU"/>
              </w:rPr>
              <w:t>Minister Administering the Public Works and Procurement Act 1912</w:t>
            </w:r>
            <w:bookmarkStart w:id="2" w:name="OWNER"/>
            <w:bookmarkEnd w:id="2"/>
            <w:r>
              <w:rPr>
                <w:rFonts w:cs="Arial"/>
                <w:sz w:val="24"/>
                <w:szCs w:val="24"/>
                <w:lang w:eastAsia="en-AU"/>
              </w:rPr>
              <w:t>.</w:t>
            </w:r>
          </w:p>
        </w:tc>
      </w:tr>
      <w:tr w:rsidR="00176633" w14:paraId="5E1066B5" w14:textId="77777777" w:rsidTr="00176633">
        <w:trPr>
          <w:trHeight w:val="142"/>
          <w:jc w:val="center"/>
        </w:trPr>
        <w:tc>
          <w:tcPr>
            <w:tcW w:w="2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C111994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AU"/>
              </w:rPr>
              <w:t>Application No.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70F3927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eastAsia="en-AU"/>
              </w:rPr>
            </w:pPr>
            <w:r>
              <w:rPr>
                <w:rFonts w:cs="Arial"/>
                <w:sz w:val="24"/>
                <w:szCs w:val="24"/>
                <w:lang w:eastAsia="en-AU"/>
              </w:rPr>
              <w:t>DA2021/0435</w:t>
            </w:r>
            <w:bookmarkStart w:id="3" w:name="DOCID_2"/>
            <w:bookmarkEnd w:id="3"/>
            <w:r>
              <w:rPr>
                <w:rFonts w:cs="Arial"/>
                <w:sz w:val="24"/>
                <w:szCs w:val="24"/>
                <w:lang w:eastAsia="en-AU"/>
              </w:rPr>
              <w:t>.</w:t>
            </w:r>
          </w:p>
        </w:tc>
      </w:tr>
      <w:tr w:rsidR="00176633" w14:paraId="6E6D8DD3" w14:textId="77777777" w:rsidTr="00176633">
        <w:trPr>
          <w:trHeight w:val="281"/>
          <w:jc w:val="center"/>
        </w:trPr>
        <w:tc>
          <w:tcPr>
            <w:tcW w:w="2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64109EB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AU"/>
              </w:rPr>
              <w:t>Description of Land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8263FE1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eastAsia="en-AU"/>
              </w:rPr>
            </w:pPr>
            <w:r>
              <w:rPr>
                <w:rFonts w:cs="Arial"/>
                <w:sz w:val="24"/>
                <w:szCs w:val="24"/>
                <w:lang w:eastAsia="en-AU"/>
              </w:rPr>
              <w:t xml:space="preserve">80 Betty Cuthbert Drive Lidcombe being </w:t>
            </w:r>
            <w:bookmarkStart w:id="4" w:name="PROPADDRSL_2"/>
            <w:bookmarkEnd w:id="4"/>
            <w:r>
              <w:rPr>
                <w:rFonts w:cs="Arial"/>
                <w:sz w:val="24"/>
                <w:szCs w:val="24"/>
                <w:lang w:eastAsia="en-AU"/>
              </w:rPr>
              <w:t>Lot 74 in DP 1141724</w:t>
            </w:r>
            <w:bookmarkStart w:id="5" w:name="LEGALDESC"/>
            <w:bookmarkEnd w:id="5"/>
            <w:r>
              <w:rPr>
                <w:rFonts w:cs="Arial"/>
                <w:sz w:val="24"/>
                <w:szCs w:val="24"/>
                <w:lang w:eastAsia="en-AU"/>
              </w:rPr>
              <w:t>.</w:t>
            </w:r>
          </w:p>
        </w:tc>
      </w:tr>
      <w:tr w:rsidR="00176633" w14:paraId="5ED896C4" w14:textId="77777777" w:rsidTr="00176633">
        <w:trPr>
          <w:trHeight w:val="556"/>
          <w:jc w:val="center"/>
        </w:trPr>
        <w:tc>
          <w:tcPr>
            <w:tcW w:w="2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BE6D7DA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AU"/>
              </w:rPr>
              <w:t>Proposed Development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1F3BE4E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eastAsia="en-AU"/>
              </w:rPr>
            </w:pPr>
            <w:r>
              <w:rPr>
                <w:rFonts w:cs="Arial"/>
                <w:sz w:val="24"/>
                <w:szCs w:val="24"/>
                <w:lang w:eastAsia="en-AU"/>
              </w:rPr>
              <w:t>Construction of a part one (1), part two (2) and part three (3) storey Multiple Sclerosis (MS) Wellbeing Centre inclusive of 20 x 2 bedroom units for temporary accommodation, provision of carparking and new access driveways, drainage and stormwater detention works and tree removal</w:t>
            </w:r>
            <w:bookmarkStart w:id="6" w:name="APPDESC"/>
            <w:bookmarkEnd w:id="6"/>
            <w:r>
              <w:rPr>
                <w:rFonts w:cs="Arial"/>
                <w:sz w:val="24"/>
                <w:szCs w:val="24"/>
                <w:lang w:eastAsia="en-AU"/>
              </w:rPr>
              <w:t>.</w:t>
            </w:r>
          </w:p>
        </w:tc>
      </w:tr>
      <w:tr w:rsidR="00176633" w14:paraId="745DC652" w14:textId="77777777" w:rsidTr="00176633">
        <w:trPr>
          <w:trHeight w:val="143"/>
          <w:jc w:val="center"/>
        </w:trPr>
        <w:tc>
          <w:tcPr>
            <w:tcW w:w="2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61CD4A4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AU"/>
              </w:rPr>
              <w:t>Site Area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B165F96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eastAsia="en-AU"/>
              </w:rPr>
            </w:pPr>
            <w:r>
              <w:rPr>
                <w:rFonts w:cs="Arial"/>
                <w:sz w:val="24"/>
                <w:szCs w:val="24"/>
                <w:lang w:eastAsia="en-AU"/>
              </w:rPr>
              <w:t>8,789.8 Square metres.</w:t>
            </w:r>
          </w:p>
        </w:tc>
      </w:tr>
      <w:tr w:rsidR="00176633" w14:paraId="76A39A1A" w14:textId="77777777" w:rsidTr="00176633">
        <w:trPr>
          <w:trHeight w:val="142"/>
          <w:jc w:val="center"/>
        </w:trPr>
        <w:tc>
          <w:tcPr>
            <w:tcW w:w="2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C8E26E8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AU"/>
              </w:rPr>
              <w:t>Zoning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4777A83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eastAsia="en-AU"/>
              </w:rPr>
            </w:pPr>
            <w:r>
              <w:rPr>
                <w:rFonts w:cs="Arial"/>
                <w:sz w:val="24"/>
                <w:szCs w:val="24"/>
                <w:lang w:eastAsia="en-AU"/>
              </w:rPr>
              <w:t>SP2 (Infrastructure) - Hospital.</w:t>
            </w:r>
          </w:p>
        </w:tc>
      </w:tr>
      <w:tr w:rsidR="00176633" w14:paraId="465873CD" w14:textId="77777777" w:rsidTr="00176633">
        <w:trPr>
          <w:trHeight w:val="281"/>
          <w:jc w:val="center"/>
        </w:trPr>
        <w:tc>
          <w:tcPr>
            <w:tcW w:w="2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D5BBF38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AU"/>
              </w:rPr>
              <w:t>Disclosure of political donations and gifts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3C3B736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eastAsia="en-AU"/>
              </w:rPr>
            </w:pPr>
            <w:r>
              <w:rPr>
                <w:rFonts w:cs="Arial"/>
                <w:sz w:val="24"/>
                <w:szCs w:val="24"/>
                <w:lang w:eastAsia="en-AU"/>
              </w:rPr>
              <w:t>Nil disclosure.</w:t>
            </w:r>
          </w:p>
        </w:tc>
      </w:tr>
      <w:tr w:rsidR="00176633" w14:paraId="6E4875C1" w14:textId="77777777" w:rsidTr="00176633">
        <w:trPr>
          <w:trHeight w:val="142"/>
          <w:jc w:val="center"/>
        </w:trPr>
        <w:tc>
          <w:tcPr>
            <w:tcW w:w="2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A5F4980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AU"/>
              </w:rPr>
              <w:t>Heritage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4939F06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eastAsia="en-AU"/>
              </w:rPr>
            </w:pPr>
            <w:r>
              <w:rPr>
                <w:rFonts w:cs="Arial"/>
                <w:sz w:val="24"/>
                <w:szCs w:val="24"/>
                <w:lang w:eastAsia="en-AU"/>
              </w:rPr>
              <w:t>The site is not listed as a heritage item or an archaeological item under the Auburn Local Environmental Plan 2010.</w:t>
            </w:r>
          </w:p>
        </w:tc>
      </w:tr>
      <w:tr w:rsidR="00176633" w14:paraId="15521EC2" w14:textId="77777777" w:rsidTr="00176633">
        <w:trPr>
          <w:trHeight w:val="142"/>
          <w:jc w:val="center"/>
        </w:trPr>
        <w:tc>
          <w:tcPr>
            <w:tcW w:w="2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CDA5F60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AU"/>
              </w:rPr>
              <w:t>Principal Development Standards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089E63B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eastAsia="en-AU"/>
              </w:rPr>
            </w:pPr>
            <w:r>
              <w:rPr>
                <w:rFonts w:cs="Arial"/>
                <w:sz w:val="24"/>
                <w:szCs w:val="24"/>
                <w:lang w:eastAsia="en-AU"/>
              </w:rPr>
              <w:t>There is no floor space ratio or building height provision applying to the site.</w:t>
            </w:r>
          </w:p>
        </w:tc>
      </w:tr>
      <w:tr w:rsidR="00176633" w14:paraId="59892FF7" w14:textId="77777777" w:rsidTr="00176633">
        <w:trPr>
          <w:trHeight w:val="142"/>
          <w:jc w:val="center"/>
        </w:trPr>
        <w:tc>
          <w:tcPr>
            <w:tcW w:w="2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A72AA3C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AU"/>
              </w:rPr>
              <w:t>Issues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BF96449" w14:textId="77777777" w:rsidR="00176633" w:rsidRDefault="00176633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eastAsia="en-AU"/>
              </w:rPr>
            </w:pPr>
            <w:r>
              <w:rPr>
                <w:rFonts w:cs="Arial"/>
                <w:sz w:val="24"/>
                <w:szCs w:val="24"/>
                <w:lang w:eastAsia="en-AU"/>
              </w:rPr>
              <w:t>Submissions.</w:t>
            </w:r>
          </w:p>
        </w:tc>
      </w:tr>
    </w:tbl>
    <w:p w14:paraId="590FBB72" w14:textId="4B96F33C" w:rsidR="00176633" w:rsidRDefault="00176633"/>
    <w:p w14:paraId="481A0A31" w14:textId="29DD7533" w:rsidR="00176633" w:rsidRDefault="00176633" w:rsidP="00176633">
      <w:pPr>
        <w:ind w:left="-142" w:right="-188"/>
        <w:jc w:val="both"/>
        <w:rPr>
          <w:rFonts w:cs="Arial"/>
          <w:color w:val="201F1E"/>
          <w:sz w:val="24"/>
          <w:szCs w:val="24"/>
          <w:shd w:val="clear" w:color="auto" w:fill="FFFFFF"/>
        </w:rPr>
      </w:pPr>
      <w:r w:rsidRPr="00176633">
        <w:rPr>
          <w:rFonts w:cs="Arial"/>
          <w:color w:val="201F1E"/>
          <w:sz w:val="24"/>
          <w:szCs w:val="24"/>
          <w:shd w:val="clear" w:color="auto" w:fill="FFFFFF"/>
        </w:rPr>
        <w:t>Reference is made to the applicant</w:t>
      </w:r>
      <w:r>
        <w:rPr>
          <w:rFonts w:cs="Arial"/>
          <w:color w:val="201F1E"/>
          <w:sz w:val="24"/>
          <w:szCs w:val="24"/>
          <w:shd w:val="clear" w:color="auto" w:fill="FFFFFF"/>
        </w:rPr>
        <w:t>’</w:t>
      </w:r>
      <w:r w:rsidRPr="00176633">
        <w:rPr>
          <w:rFonts w:cs="Arial"/>
          <w:color w:val="201F1E"/>
          <w:sz w:val="24"/>
          <w:szCs w:val="24"/>
          <w:shd w:val="clear" w:color="auto" w:fill="FFFFFF"/>
        </w:rPr>
        <w:t xml:space="preserve">s submission of Monday 8 November 2021 in which the applicant advises </w:t>
      </w:r>
      <w:r w:rsidR="009507CD">
        <w:rPr>
          <w:rFonts w:cs="Arial"/>
          <w:color w:val="201F1E"/>
          <w:sz w:val="24"/>
          <w:szCs w:val="24"/>
          <w:shd w:val="clear" w:color="auto" w:fill="FFFFFF"/>
        </w:rPr>
        <w:t>t</w:t>
      </w:r>
      <w:r>
        <w:rPr>
          <w:rFonts w:cs="Arial"/>
          <w:color w:val="201F1E"/>
          <w:sz w:val="24"/>
          <w:szCs w:val="24"/>
          <w:shd w:val="clear" w:color="auto" w:fill="FFFFFF"/>
        </w:rPr>
        <w:t>hat Condition 2 is partially incorrect.</w:t>
      </w:r>
    </w:p>
    <w:p w14:paraId="2FE5F015" w14:textId="23382534" w:rsidR="00FF0B62" w:rsidRDefault="00FF0B62" w:rsidP="00176633">
      <w:pPr>
        <w:ind w:left="-142" w:right="-188"/>
        <w:jc w:val="both"/>
        <w:rPr>
          <w:rFonts w:cs="Arial"/>
          <w:color w:val="201F1E"/>
          <w:sz w:val="24"/>
          <w:szCs w:val="24"/>
          <w:shd w:val="clear" w:color="auto" w:fill="FFFFFF"/>
        </w:rPr>
      </w:pPr>
    </w:p>
    <w:p w14:paraId="3BF811FC" w14:textId="64B2FDB3" w:rsidR="00FF0B62" w:rsidRDefault="00FF0B62" w:rsidP="00176633">
      <w:pPr>
        <w:ind w:left="-142" w:right="-188"/>
        <w:jc w:val="both"/>
        <w:rPr>
          <w:rFonts w:cs="Arial"/>
          <w:color w:val="201F1E"/>
          <w:sz w:val="24"/>
          <w:szCs w:val="24"/>
          <w:shd w:val="clear" w:color="auto" w:fill="FFFFFF"/>
        </w:rPr>
      </w:pPr>
      <w:r>
        <w:rPr>
          <w:rFonts w:cs="Arial"/>
          <w:color w:val="201F1E"/>
          <w:sz w:val="24"/>
          <w:szCs w:val="24"/>
          <w:shd w:val="clear" w:color="auto" w:fill="FFFFFF"/>
        </w:rPr>
        <w:t>The following commentary is provided in response to the submission:</w:t>
      </w:r>
    </w:p>
    <w:p w14:paraId="41BBB5B6" w14:textId="5936E05B" w:rsidR="00FF0B62" w:rsidRDefault="00FF0B62" w:rsidP="00176633">
      <w:pPr>
        <w:ind w:left="-142" w:right="-188"/>
        <w:jc w:val="both"/>
        <w:rPr>
          <w:rFonts w:cs="Arial"/>
          <w:color w:val="201F1E"/>
          <w:sz w:val="24"/>
          <w:szCs w:val="24"/>
          <w:shd w:val="clear" w:color="auto" w:fill="FFFFFF"/>
        </w:rPr>
      </w:pPr>
    </w:p>
    <w:p w14:paraId="068E363A" w14:textId="77777777" w:rsidR="00FF0B62" w:rsidRPr="00FF0B62" w:rsidRDefault="00FF0B62" w:rsidP="00FF0B62">
      <w:pPr>
        <w:pStyle w:val="ListParagraph"/>
        <w:numPr>
          <w:ilvl w:val="0"/>
          <w:numId w:val="1"/>
        </w:numPr>
        <w:ind w:right="-188"/>
        <w:jc w:val="both"/>
        <w:rPr>
          <w:sz w:val="24"/>
          <w:szCs w:val="24"/>
        </w:rPr>
      </w:pPr>
      <w:r w:rsidRPr="00FF0B62">
        <w:rPr>
          <w:sz w:val="24"/>
          <w:szCs w:val="24"/>
        </w:rPr>
        <w:t>The stormwater plan set the subject of the assessment was submitted to the Council for assessment on Monday 11 October 2021.</w:t>
      </w:r>
    </w:p>
    <w:p w14:paraId="18C2F4FD" w14:textId="77777777" w:rsidR="00FF0B62" w:rsidRPr="00FF0B62" w:rsidRDefault="00FF0B62" w:rsidP="00FF0B62">
      <w:pPr>
        <w:ind w:left="-142" w:right="-188"/>
        <w:jc w:val="both"/>
        <w:rPr>
          <w:sz w:val="24"/>
          <w:szCs w:val="24"/>
          <w:u w:val="single"/>
        </w:rPr>
      </w:pPr>
    </w:p>
    <w:p w14:paraId="0A3D3DF1" w14:textId="0CD18AC3" w:rsidR="00FF0B62" w:rsidRDefault="00FF0B62" w:rsidP="00FF0B62">
      <w:pPr>
        <w:pStyle w:val="ListParagraph"/>
        <w:numPr>
          <w:ilvl w:val="0"/>
          <w:numId w:val="1"/>
        </w:numPr>
        <w:ind w:right="-188"/>
        <w:jc w:val="both"/>
        <w:rPr>
          <w:sz w:val="24"/>
          <w:szCs w:val="24"/>
        </w:rPr>
      </w:pPr>
      <w:r w:rsidRPr="00FF0B62">
        <w:rPr>
          <w:sz w:val="24"/>
          <w:szCs w:val="24"/>
        </w:rPr>
        <w:t>The assessment report</w:t>
      </w:r>
      <w:r w:rsidR="00350DB5">
        <w:rPr>
          <w:sz w:val="24"/>
          <w:szCs w:val="24"/>
        </w:rPr>
        <w:t xml:space="preserve"> and draft conditions (including stormwater related conditions)</w:t>
      </w:r>
      <w:r w:rsidRPr="00FF0B62">
        <w:rPr>
          <w:sz w:val="24"/>
          <w:szCs w:val="24"/>
        </w:rPr>
        <w:t xml:space="preserve"> was completed and </w:t>
      </w:r>
      <w:r w:rsidR="00350DB5">
        <w:rPr>
          <w:sz w:val="24"/>
          <w:szCs w:val="24"/>
        </w:rPr>
        <w:t>submitted</w:t>
      </w:r>
      <w:r w:rsidRPr="00FF0B62">
        <w:rPr>
          <w:sz w:val="24"/>
          <w:szCs w:val="24"/>
        </w:rPr>
        <w:t xml:space="preserve"> with the Panel for determination on Thursday 28 October 2021</w:t>
      </w:r>
      <w:r w:rsidR="00350DB5">
        <w:rPr>
          <w:sz w:val="24"/>
          <w:szCs w:val="24"/>
        </w:rPr>
        <w:t>.</w:t>
      </w:r>
    </w:p>
    <w:p w14:paraId="1B7AAD59" w14:textId="77777777" w:rsidR="00FF0B62" w:rsidRPr="00FF0B62" w:rsidRDefault="00FF0B62" w:rsidP="00FF0B62">
      <w:pPr>
        <w:ind w:right="-188"/>
        <w:jc w:val="both"/>
        <w:rPr>
          <w:sz w:val="24"/>
          <w:szCs w:val="24"/>
        </w:rPr>
      </w:pPr>
    </w:p>
    <w:p w14:paraId="6A7E0A95" w14:textId="27FE1C2B" w:rsidR="00FF0B62" w:rsidRPr="00FF0B62" w:rsidRDefault="00FF0B62" w:rsidP="00FF0B62">
      <w:pPr>
        <w:pStyle w:val="ListParagraph"/>
        <w:numPr>
          <w:ilvl w:val="0"/>
          <w:numId w:val="1"/>
        </w:numPr>
        <w:ind w:right="-188"/>
        <w:jc w:val="both"/>
        <w:rPr>
          <w:sz w:val="24"/>
          <w:szCs w:val="24"/>
        </w:rPr>
      </w:pPr>
      <w:r w:rsidRPr="00FF0B62">
        <w:rPr>
          <w:sz w:val="24"/>
          <w:szCs w:val="24"/>
        </w:rPr>
        <w:t xml:space="preserve">The </w:t>
      </w:r>
      <w:r w:rsidR="00350DB5">
        <w:rPr>
          <w:sz w:val="24"/>
          <w:szCs w:val="24"/>
        </w:rPr>
        <w:t xml:space="preserve">recent </w:t>
      </w:r>
      <w:r w:rsidRPr="00FF0B62">
        <w:rPr>
          <w:sz w:val="24"/>
          <w:szCs w:val="24"/>
        </w:rPr>
        <w:t xml:space="preserve">plans </w:t>
      </w:r>
      <w:r w:rsidR="00350DB5">
        <w:rPr>
          <w:sz w:val="24"/>
          <w:szCs w:val="24"/>
        </w:rPr>
        <w:t xml:space="preserve">dated 28 October 2021 </w:t>
      </w:r>
      <w:r w:rsidRPr="00FF0B62">
        <w:rPr>
          <w:sz w:val="24"/>
          <w:szCs w:val="24"/>
        </w:rPr>
        <w:t>being referred t</w:t>
      </w:r>
      <w:r w:rsidR="00350DB5">
        <w:rPr>
          <w:sz w:val="24"/>
          <w:szCs w:val="24"/>
        </w:rPr>
        <w:t>o by the applicant</w:t>
      </w:r>
      <w:r w:rsidRPr="00FF0B62">
        <w:rPr>
          <w:sz w:val="24"/>
          <w:szCs w:val="24"/>
        </w:rPr>
        <w:t xml:space="preserve"> were submitted to the Council after the report</w:t>
      </w:r>
      <w:r w:rsidR="00350DB5">
        <w:rPr>
          <w:sz w:val="24"/>
          <w:szCs w:val="24"/>
        </w:rPr>
        <w:t>/draft conditions</w:t>
      </w:r>
      <w:r w:rsidRPr="00FF0B62">
        <w:rPr>
          <w:sz w:val="24"/>
          <w:szCs w:val="24"/>
        </w:rPr>
        <w:t xml:space="preserve"> had been completed and </w:t>
      </w:r>
      <w:r w:rsidR="00350DB5">
        <w:rPr>
          <w:sz w:val="24"/>
          <w:szCs w:val="24"/>
        </w:rPr>
        <w:t>submitted</w:t>
      </w:r>
      <w:r w:rsidRPr="00FF0B62">
        <w:rPr>
          <w:sz w:val="24"/>
          <w:szCs w:val="24"/>
        </w:rPr>
        <w:t xml:space="preserve"> to the Panel for determination</w:t>
      </w:r>
      <w:r w:rsidR="00350DB5">
        <w:rPr>
          <w:sz w:val="24"/>
          <w:szCs w:val="24"/>
        </w:rPr>
        <w:t xml:space="preserve">. It is noted that Council officers discussed the issues with the Stormwater plans dated </w:t>
      </w:r>
      <w:r w:rsidR="00345884">
        <w:rPr>
          <w:sz w:val="24"/>
          <w:szCs w:val="24"/>
        </w:rPr>
        <w:t xml:space="preserve">Monday 10 October 2021 </w:t>
      </w:r>
      <w:r w:rsidR="00350DB5">
        <w:rPr>
          <w:sz w:val="24"/>
          <w:szCs w:val="24"/>
        </w:rPr>
        <w:t xml:space="preserve">with the applicant </w:t>
      </w:r>
      <w:r w:rsidR="002701B5">
        <w:rPr>
          <w:sz w:val="24"/>
          <w:szCs w:val="24"/>
        </w:rPr>
        <w:t>on 17/10/2021</w:t>
      </w:r>
      <w:r w:rsidR="00345884">
        <w:rPr>
          <w:sz w:val="24"/>
          <w:szCs w:val="24"/>
        </w:rPr>
        <w:t xml:space="preserve"> </w:t>
      </w:r>
      <w:r w:rsidR="00350DB5">
        <w:rPr>
          <w:sz w:val="24"/>
          <w:szCs w:val="24"/>
        </w:rPr>
        <w:t>and they were advised the matter could be resolved via appropriate conditions.</w:t>
      </w:r>
    </w:p>
    <w:p w14:paraId="0068F3A3" w14:textId="77777777" w:rsidR="00FF0B62" w:rsidRDefault="00FF0B62" w:rsidP="00FF0B62">
      <w:pPr>
        <w:ind w:left="-142" w:right="-188"/>
        <w:jc w:val="both"/>
        <w:rPr>
          <w:sz w:val="24"/>
          <w:szCs w:val="24"/>
        </w:rPr>
      </w:pPr>
    </w:p>
    <w:p w14:paraId="62D9B46B" w14:textId="5EFA3FAC" w:rsidR="00176633" w:rsidRDefault="002701B5" w:rsidP="00350DB5">
      <w:pPr>
        <w:ind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Panel is advised that </w:t>
      </w:r>
      <w:r w:rsidR="00FF0B62" w:rsidRPr="00350DB5">
        <w:rPr>
          <w:sz w:val="24"/>
          <w:szCs w:val="24"/>
        </w:rPr>
        <w:t>Council</w:t>
      </w:r>
      <w:r>
        <w:rPr>
          <w:sz w:val="24"/>
          <w:szCs w:val="24"/>
        </w:rPr>
        <w:t xml:space="preserve">’ development </w:t>
      </w:r>
      <w:r w:rsidR="00FF0B62" w:rsidRPr="00350DB5">
        <w:rPr>
          <w:sz w:val="24"/>
          <w:szCs w:val="24"/>
        </w:rPr>
        <w:t xml:space="preserve">engineer has </w:t>
      </w:r>
      <w:r>
        <w:rPr>
          <w:sz w:val="24"/>
          <w:szCs w:val="24"/>
        </w:rPr>
        <w:t>indicated</w:t>
      </w:r>
      <w:r w:rsidR="00FF0B62" w:rsidRPr="00350DB5">
        <w:rPr>
          <w:sz w:val="24"/>
          <w:szCs w:val="24"/>
        </w:rPr>
        <w:t xml:space="preserve"> that the </w:t>
      </w:r>
      <w:r w:rsidR="00350DB5" w:rsidRPr="00350DB5">
        <w:rPr>
          <w:sz w:val="24"/>
          <w:szCs w:val="24"/>
        </w:rPr>
        <w:t xml:space="preserve">new </w:t>
      </w:r>
      <w:r w:rsidR="00FF0B62" w:rsidRPr="00350DB5">
        <w:rPr>
          <w:sz w:val="24"/>
          <w:szCs w:val="24"/>
        </w:rPr>
        <w:t xml:space="preserve">plans </w:t>
      </w:r>
      <w:r w:rsidR="00350DB5" w:rsidRPr="00350DB5">
        <w:rPr>
          <w:sz w:val="24"/>
          <w:szCs w:val="24"/>
        </w:rPr>
        <w:t>dated 28/10/2021 may</w:t>
      </w:r>
      <w:r w:rsidR="00FF0B62" w:rsidRPr="00350DB5">
        <w:rPr>
          <w:sz w:val="24"/>
          <w:szCs w:val="24"/>
        </w:rPr>
        <w:t xml:space="preserve"> be submitted to the PCA as a response to the conditions including Condition 53.</w:t>
      </w:r>
    </w:p>
    <w:p w14:paraId="36F101B4" w14:textId="56DB2165" w:rsidR="00350DB5" w:rsidRDefault="00350DB5" w:rsidP="00350DB5">
      <w:pPr>
        <w:ind w:right="-188"/>
        <w:jc w:val="both"/>
        <w:rPr>
          <w:sz w:val="24"/>
          <w:szCs w:val="24"/>
        </w:rPr>
      </w:pPr>
    </w:p>
    <w:p w14:paraId="2F9CF2B7" w14:textId="77777777" w:rsidR="00350DB5" w:rsidRPr="00350DB5" w:rsidRDefault="00350DB5" w:rsidP="00350DB5">
      <w:pPr>
        <w:ind w:right="-188"/>
        <w:jc w:val="both"/>
        <w:rPr>
          <w:sz w:val="24"/>
          <w:szCs w:val="24"/>
        </w:rPr>
      </w:pPr>
    </w:p>
    <w:sectPr w:rsidR="00350DB5" w:rsidRPr="00350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A5CA1"/>
    <w:multiLevelType w:val="hybridMultilevel"/>
    <w:tmpl w:val="07E8C28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33"/>
    <w:rsid w:val="00176633"/>
    <w:rsid w:val="002701B5"/>
    <w:rsid w:val="00345884"/>
    <w:rsid w:val="00350DB5"/>
    <w:rsid w:val="003A3E5B"/>
    <w:rsid w:val="00885986"/>
    <w:rsid w:val="009507CD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C2962"/>
  <w15:chartTrackingRefBased/>
  <w15:docId w15:val="{DEF6040A-8B0F-4672-ABE4-8504A094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33"/>
    <w:pPr>
      <w:spacing w:after="0" w:line="240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0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pearmanlusiana7@gmail.com</dc:creator>
  <cp:keywords/>
  <dc:description/>
  <cp:lastModifiedBy>Esra Calim</cp:lastModifiedBy>
  <cp:revision>2</cp:revision>
  <dcterms:created xsi:type="dcterms:W3CDTF">2021-11-09T01:51:00Z</dcterms:created>
  <dcterms:modified xsi:type="dcterms:W3CDTF">2021-11-09T01:51:00Z</dcterms:modified>
</cp:coreProperties>
</file>